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5DA29" w14:textId="77777777" w:rsidR="00C27D4C" w:rsidRDefault="00C27D4C">
      <w:pPr>
        <w:shd w:val="clear" w:color="auto" w:fill="FFFFFF"/>
        <w:snapToGrid/>
        <w:spacing w:after="0" w:line="600" w:lineRule="exact"/>
        <w:jc w:val="center"/>
        <w:rPr>
          <w:rFonts w:ascii="Times New Roman" w:eastAsiaTheme="minorEastAsia" w:hAnsi="Times New Roman" w:cs="Times New Roman"/>
          <w:sz w:val="30"/>
          <w:szCs w:val="30"/>
        </w:rPr>
      </w:pPr>
    </w:p>
    <w:p w14:paraId="5CBF44AA" w14:textId="77777777" w:rsidR="00C27D4C" w:rsidRDefault="00C27D4C">
      <w:pPr>
        <w:snapToGrid/>
        <w:spacing w:after="0" w:line="600" w:lineRule="exact"/>
        <w:rPr>
          <w:rFonts w:ascii="Times New Roman" w:eastAsiaTheme="minorEastAsia" w:hAnsi="Times New Roman" w:cs="Times New Roman"/>
          <w:sz w:val="30"/>
          <w:szCs w:val="30"/>
        </w:rPr>
      </w:pPr>
    </w:p>
    <w:p w14:paraId="30BA0BA5" w14:textId="77777777" w:rsidR="00C27D4C" w:rsidRPr="002F0C4F" w:rsidRDefault="00AC2805">
      <w:pPr>
        <w:shd w:val="clear" w:color="auto" w:fill="FFFFFF"/>
        <w:adjustRightInd/>
        <w:snapToGrid/>
        <w:spacing w:after="0" w:line="520" w:lineRule="exact"/>
        <w:jc w:val="center"/>
        <w:rPr>
          <w:rFonts w:ascii="方正小标宋简体" w:eastAsia="方正小标宋简体" w:hAnsi="华文中宋" w:cs="Times New Roman"/>
          <w:sz w:val="44"/>
          <w:szCs w:val="44"/>
        </w:rPr>
      </w:pPr>
      <w:r w:rsidRPr="002F0C4F">
        <w:rPr>
          <w:rFonts w:ascii="方正小标宋简体" w:eastAsia="方正小标宋简体" w:hAnsi="华文中宋" w:cs="Times New Roman" w:hint="eastAsia"/>
          <w:sz w:val="44"/>
          <w:szCs w:val="44"/>
        </w:rPr>
        <w:t>吉林大学实验室危险化学品管理规定</w:t>
      </w:r>
    </w:p>
    <w:p w14:paraId="126C1B01" w14:textId="77777777" w:rsidR="005F565A" w:rsidRDefault="005F565A" w:rsidP="00AC2C48">
      <w:pPr>
        <w:spacing w:after="0" w:line="600" w:lineRule="exact"/>
        <w:ind w:firstLineChars="200" w:firstLine="640"/>
        <w:jc w:val="both"/>
        <w:rPr>
          <w:rFonts w:ascii="仿宋_GB2312" w:eastAsia="仿宋_GB2312"/>
          <w:sz w:val="32"/>
          <w:szCs w:val="32"/>
        </w:rPr>
      </w:pPr>
      <w:bookmarkStart w:id="0" w:name="_GoBack"/>
      <w:bookmarkEnd w:id="0"/>
    </w:p>
    <w:p w14:paraId="5A81CF19" w14:textId="3334FA1E" w:rsidR="00C27D4C" w:rsidRPr="00AC2C48" w:rsidRDefault="00AC2805" w:rsidP="00AC2C48">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为进一步规范和加强学校实验室危险化学品管理，保障师生生命财产安全，严防事故发生，保护校园环境，根据《中华人民共和国安全生产法》《危险化学品安全管理条例》等相关法律法规及相关部委、地方的文件要求，结合我校实际，制定本规定。</w:t>
      </w:r>
    </w:p>
    <w:p w14:paraId="40F2D49D"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第一章 总 则</w:t>
      </w:r>
    </w:p>
    <w:p w14:paraId="3ED35F68"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第一条</w:t>
      </w:r>
      <w:r>
        <w:rPr>
          <w:rFonts w:ascii="仿宋_GB2312" w:eastAsia="仿宋_GB2312" w:hint="eastAsia"/>
          <w:sz w:val="32"/>
          <w:szCs w:val="32"/>
        </w:rPr>
        <w:t xml:space="preserve"> 全校所有涉及危险化学品的教学和科研单位须依据国家相关法律法规以及《吉林大学实验室安全管理办法（2021年修订）》，按照“谁主管、谁负责，谁使用、谁负责”的原则，明确本单位危险化学品安全管理职责，对实验室危险化学品的采购、运输、储存、使用和废弃处置等进行全周期管理。</w:t>
      </w:r>
    </w:p>
    <w:p w14:paraId="4DFFE07D"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第二条</w:t>
      </w:r>
      <w:r>
        <w:rPr>
          <w:rFonts w:ascii="仿宋_GB2312" w:eastAsia="仿宋_GB2312" w:hint="eastAsia"/>
          <w:sz w:val="32"/>
          <w:szCs w:val="32"/>
        </w:rPr>
        <w:t xml:space="preserve"> 本规定所指的</w:t>
      </w:r>
      <w:bookmarkStart w:id="1" w:name="_Hlk102663357"/>
      <w:r>
        <w:rPr>
          <w:rFonts w:ascii="仿宋_GB2312" w:eastAsia="仿宋_GB2312" w:hint="eastAsia"/>
          <w:sz w:val="32"/>
          <w:szCs w:val="32"/>
        </w:rPr>
        <w:t>危险化学品</w:t>
      </w:r>
      <w:bookmarkEnd w:id="1"/>
      <w:r>
        <w:rPr>
          <w:rFonts w:ascii="仿宋_GB2312" w:eastAsia="仿宋_GB2312" w:hint="eastAsia"/>
          <w:sz w:val="32"/>
          <w:szCs w:val="32"/>
        </w:rPr>
        <w:t>是指具有</w:t>
      </w:r>
      <w:bookmarkStart w:id="2" w:name="_Hlk102682894"/>
      <w:r>
        <w:rPr>
          <w:rFonts w:ascii="仿宋_GB2312" w:eastAsia="仿宋_GB2312" w:hint="eastAsia"/>
          <w:sz w:val="32"/>
          <w:szCs w:val="32"/>
        </w:rPr>
        <w:t>毒害、腐蚀、爆炸、燃烧、助燃等性质，对人体、设施、环境具有危害的</w:t>
      </w:r>
      <w:bookmarkEnd w:id="2"/>
      <w:r>
        <w:rPr>
          <w:rFonts w:ascii="仿宋_GB2312" w:eastAsia="仿宋_GB2312" w:hint="eastAsia"/>
          <w:sz w:val="32"/>
          <w:szCs w:val="32"/>
        </w:rPr>
        <w:t>剧毒化学品和其他化学品。其中，剧毒化学品、爆炸品、易制毒化学品、易制爆化学品、麻醉药品、精神药品、放射性物品和化学类医用或农用药品等公安部门需要管制的化学品，统称为管制类化学品。</w:t>
      </w:r>
    </w:p>
    <w:p w14:paraId="6C53EEBA"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lastRenderedPageBreak/>
        <w:t>第三条</w:t>
      </w:r>
      <w:r>
        <w:rPr>
          <w:rFonts w:ascii="仿宋_GB2312" w:eastAsia="仿宋_GB2312" w:hint="eastAsia"/>
          <w:sz w:val="32"/>
          <w:szCs w:val="32"/>
        </w:rPr>
        <w:t xml:space="preserve"> 本规定所指危险化学品的范围包括：</w:t>
      </w:r>
    </w:p>
    <w:p w14:paraId="6AFA552C" w14:textId="4A18E8A0"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1.原国家安全生产监督管理总局会同其他部门发布的《危险化学品目录（2015版）》中所列的化学品</w:t>
      </w:r>
      <w:r w:rsidR="00B023A0">
        <w:rPr>
          <w:rFonts w:ascii="仿宋_GB2312" w:eastAsia="仿宋_GB2312" w:hint="eastAsia"/>
          <w:sz w:val="32"/>
          <w:szCs w:val="32"/>
        </w:rPr>
        <w:t>。</w:t>
      </w:r>
    </w:p>
    <w:p w14:paraId="20A25FB7" w14:textId="01538798"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2.生态环境部发布的《中国现有化学物质名录》中未列入《危险化学品目录（2015版）》中的危险化学品和化学品混合物</w:t>
      </w:r>
      <w:r w:rsidR="00B023A0">
        <w:rPr>
          <w:rFonts w:ascii="仿宋_GB2312" w:eastAsia="仿宋_GB2312" w:hint="eastAsia"/>
          <w:sz w:val="32"/>
          <w:szCs w:val="32"/>
        </w:rPr>
        <w:t>。</w:t>
      </w:r>
    </w:p>
    <w:p w14:paraId="103EA429" w14:textId="7AFC5952"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3.工业和信息化部、公安部调整后的《民用爆炸物品品名表》中的化学品</w:t>
      </w:r>
      <w:r w:rsidR="00B023A0">
        <w:rPr>
          <w:rFonts w:ascii="仿宋_GB2312" w:eastAsia="仿宋_GB2312" w:hint="eastAsia"/>
          <w:sz w:val="32"/>
          <w:szCs w:val="32"/>
        </w:rPr>
        <w:t>。</w:t>
      </w:r>
    </w:p>
    <w:p w14:paraId="4E2C609B" w14:textId="2DC4EC79"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4.国务院公布的《易制毒化学品的分类和品种目录》中的化学品</w:t>
      </w:r>
      <w:r w:rsidR="00B023A0">
        <w:rPr>
          <w:rFonts w:ascii="仿宋_GB2312" w:eastAsia="仿宋_GB2312" w:hint="eastAsia"/>
          <w:sz w:val="32"/>
          <w:szCs w:val="32"/>
        </w:rPr>
        <w:t>。</w:t>
      </w:r>
    </w:p>
    <w:p w14:paraId="1782FE7E" w14:textId="466AF2EB"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5.公安部公布的《易制爆危险化学品名录（2017版）》中的化学品</w:t>
      </w:r>
      <w:r w:rsidR="00B023A0">
        <w:rPr>
          <w:rFonts w:ascii="仿宋_GB2312" w:eastAsia="仿宋_GB2312" w:hint="eastAsia"/>
          <w:sz w:val="32"/>
          <w:szCs w:val="32"/>
        </w:rPr>
        <w:t>。</w:t>
      </w:r>
    </w:p>
    <w:p w14:paraId="1769D5A2" w14:textId="6FC39C89"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6.原国家食品药品监督管理总局等部门联合公布的《麻醉药品品种目录（2013年版）》和《精神药品品种目录（2013年版）》中的药品</w:t>
      </w:r>
      <w:r w:rsidR="00B023A0">
        <w:rPr>
          <w:rFonts w:ascii="仿宋_GB2312" w:eastAsia="仿宋_GB2312" w:hint="eastAsia"/>
          <w:sz w:val="32"/>
          <w:szCs w:val="32"/>
        </w:rPr>
        <w:t>。</w:t>
      </w:r>
    </w:p>
    <w:p w14:paraId="5235619F" w14:textId="77777777"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.原农业部发布的《中华人民共和国进出口农药管理名录》中的化学品。</w:t>
      </w:r>
    </w:p>
    <w:p w14:paraId="64EEEC52" w14:textId="77777777" w:rsidR="00C27D4C" w:rsidRDefault="00AC2805" w:rsidP="00AC2C48">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以上危险化学品目录以政府部门制定并适时调整的最新版本为准。</w:t>
      </w:r>
    </w:p>
    <w:p w14:paraId="3CED04A5"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第二章 危险化学品的采购</w:t>
      </w:r>
    </w:p>
    <w:p w14:paraId="6BD7F545"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 xml:space="preserve">第四条 </w:t>
      </w:r>
      <w:r>
        <w:rPr>
          <w:rFonts w:ascii="仿宋_GB2312" w:eastAsia="仿宋_GB2312" w:hint="eastAsia"/>
          <w:sz w:val="32"/>
          <w:szCs w:val="32"/>
        </w:rPr>
        <w:t>各相关单位须向具有危险化学品经营许可资质的供应商采购危险化学品；采购危险化学品时须指定专人验收、</w:t>
      </w:r>
      <w:r>
        <w:rPr>
          <w:rFonts w:ascii="仿宋_GB2312" w:eastAsia="仿宋_GB2312" w:hint="eastAsia"/>
          <w:sz w:val="32"/>
          <w:szCs w:val="32"/>
        </w:rPr>
        <w:lastRenderedPageBreak/>
        <w:t>登记和入库，保留相关采购资料、建立档案。任何单位和个人不得私自采购危险化学品，不</w:t>
      </w:r>
      <w:bookmarkStart w:id="3" w:name="_Hlk109808544"/>
      <w:r>
        <w:rPr>
          <w:rFonts w:ascii="仿宋_GB2312" w:eastAsia="仿宋_GB2312" w:hint="eastAsia"/>
          <w:sz w:val="32"/>
          <w:szCs w:val="32"/>
        </w:rPr>
        <w:t>得采购无安全技术使用说明书和安全标签的危险化学品</w:t>
      </w:r>
      <w:bookmarkEnd w:id="3"/>
      <w:r>
        <w:rPr>
          <w:rFonts w:ascii="仿宋_GB2312" w:eastAsia="仿宋_GB2312" w:hint="eastAsia"/>
          <w:sz w:val="32"/>
          <w:szCs w:val="32"/>
        </w:rPr>
        <w:t>。管制类危险化学品的采购按照国家有关规定办理相关审批手续。</w:t>
      </w:r>
    </w:p>
    <w:p w14:paraId="56E95545"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第五条</w:t>
      </w:r>
      <w:r>
        <w:rPr>
          <w:rFonts w:ascii="仿宋_GB2312" w:eastAsia="仿宋_GB2312" w:hint="eastAsia"/>
          <w:sz w:val="32"/>
          <w:szCs w:val="32"/>
        </w:rPr>
        <w:t xml:space="preserve"> 危险化学品的采购数量应根据教学和科研任务提出申购计划，实验室主任或项目负责人拟定采购数量，经所在单位审批后方可采购，不得突破存储限额超量采购。</w:t>
      </w:r>
    </w:p>
    <w:p w14:paraId="507925FC" w14:textId="77777777" w:rsidR="00C27D4C" w:rsidRDefault="00AC2805" w:rsidP="00AC2C48">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第六条</w:t>
      </w:r>
      <w:r>
        <w:rPr>
          <w:rFonts w:ascii="仿宋_GB2312" w:eastAsia="仿宋_GB2312" w:hint="eastAsia"/>
          <w:sz w:val="32"/>
          <w:szCs w:val="32"/>
        </w:rPr>
        <w:t xml:space="preserve"> 任何单位和个人不得私自接受和转让危险化学品。非管制类危险化学品的接受和转让，须符合国家相关规定，由相关单位向学校实验室管理处申请，获得批准后方可进行。管制类危险化学品不得接受和转让。</w:t>
      </w:r>
    </w:p>
    <w:p w14:paraId="52B3204B"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第三章 危险化学品的运输</w:t>
      </w:r>
    </w:p>
    <w:p w14:paraId="3CEABEBA"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第七条</w:t>
      </w:r>
      <w:r>
        <w:rPr>
          <w:rFonts w:ascii="仿宋_GB2312" w:eastAsia="仿宋_GB2312" w:hint="eastAsia"/>
          <w:sz w:val="32"/>
          <w:szCs w:val="32"/>
        </w:rPr>
        <w:t xml:space="preserve"> 危险化学品的运输和装卸要按照国家有关规定执行，必须使用专门的车辆或工具，严禁违章作业；运送危险化学品的车辆须到学校保卫部门备案，接受学校的监督和检查，并按照规定的路线行驶；被危险化学品污染的车辆、设备、工具和场地，必须及时清理处置。</w:t>
      </w:r>
    </w:p>
    <w:p w14:paraId="14A3CB7A"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 xml:space="preserve">第八条 </w:t>
      </w:r>
      <w:r>
        <w:rPr>
          <w:rFonts w:ascii="仿宋_GB2312" w:eastAsia="仿宋_GB2312" w:hint="eastAsia"/>
          <w:sz w:val="32"/>
          <w:szCs w:val="32"/>
        </w:rPr>
        <w:t>装运危险化学品时应轻装轻卸，防止撞击、重压、倾倒和摩擦。发现包装容器不牢固、破损或渗漏时，必须重装或采取其他措施后，方可进行运输。</w:t>
      </w:r>
    </w:p>
    <w:p w14:paraId="6AC1BBFE"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 xml:space="preserve">第九条 </w:t>
      </w:r>
      <w:r>
        <w:rPr>
          <w:rFonts w:ascii="仿宋_GB2312" w:eastAsia="仿宋_GB2312" w:hint="eastAsia"/>
          <w:sz w:val="32"/>
          <w:szCs w:val="32"/>
        </w:rPr>
        <w:t>碰撞、接触容易引起燃烧、爆炸或造成其他危险的化学品，以及化学性质或防护、灭火方法互相抵触等的危险</w:t>
      </w:r>
      <w:r>
        <w:rPr>
          <w:rFonts w:ascii="仿宋_GB2312" w:eastAsia="仿宋_GB2312" w:hint="eastAsia"/>
          <w:sz w:val="32"/>
          <w:szCs w:val="32"/>
        </w:rPr>
        <w:lastRenderedPageBreak/>
        <w:t>化学品，须单独运输，不得混载；不允许暴露运输的化学品必须装入安全器具中；遇热、遇潮容易引起燃烧、爆炸或产生有毒气体的危险化学品，在装运时应当采取隔热、防潮措施。</w:t>
      </w:r>
    </w:p>
    <w:p w14:paraId="2555F3B7"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第十条</w:t>
      </w:r>
      <w:r>
        <w:rPr>
          <w:rFonts w:ascii="仿宋_GB2312" w:eastAsia="仿宋_GB2312" w:hint="eastAsia"/>
          <w:sz w:val="32"/>
          <w:szCs w:val="32"/>
        </w:rPr>
        <w:t xml:space="preserve"> 禁止师生自行运输危险化学品；禁止无关人员搭乘装运危险化学品的车辆；禁止携带危险化学品乘坐公共交通工具。</w:t>
      </w:r>
    </w:p>
    <w:p w14:paraId="6D73714B"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第四章 危险化学品的储存</w:t>
      </w:r>
    </w:p>
    <w:p w14:paraId="00CE44D5"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第十一条</w:t>
      </w:r>
      <w:r>
        <w:rPr>
          <w:rFonts w:ascii="仿宋_GB2312" w:eastAsia="仿宋_GB2312" w:hint="eastAsia"/>
          <w:sz w:val="32"/>
          <w:szCs w:val="32"/>
        </w:rPr>
        <w:t xml:space="preserve"> 危险化学品储存必须按照《常用化学危险品贮存通则》（GB 15603）的要求和危险化学品的危险属性规范使用专用试剂柜分类储存，不相容（配伍禁忌）或灭火方式不同的化学品必须分区或分柜存放。</w:t>
      </w:r>
    </w:p>
    <w:p w14:paraId="04335927"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第十二条</w:t>
      </w:r>
      <w:r>
        <w:rPr>
          <w:rFonts w:ascii="仿宋_GB2312" w:eastAsia="仿宋_GB2312" w:hint="eastAsia"/>
          <w:sz w:val="32"/>
          <w:szCs w:val="32"/>
        </w:rPr>
        <w:t xml:space="preserve"> 危险化学品储存场所必须做好安全防范措施，应配备相应的安防、技防设施。储存场所严禁吸烟和使用明火，要配备相应的应急物品，做好应急防范措施。绘制危险化学品使用安全网格图。危险化学品发生丢失、被盗、被抢、泄漏和污染等事故，事发单位应当立即报告学校相关部门，并逐级上报校领导及相关上级主管部门，及时采取相应措施，减轻危害。</w:t>
      </w:r>
    </w:p>
    <w:p w14:paraId="40EFE25E"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第十三条</w:t>
      </w:r>
      <w:r>
        <w:rPr>
          <w:rFonts w:ascii="仿宋_GB2312" w:eastAsia="仿宋_GB2312" w:hint="eastAsia"/>
          <w:sz w:val="32"/>
          <w:szCs w:val="32"/>
        </w:rPr>
        <w:t xml:space="preserve"> 实验室应建立危险化学品目录和动态台账，定期盘点和清理过期药品，并有安全技术使用说明书（SDS）或安全周知卡，方便查阅。</w:t>
      </w:r>
    </w:p>
    <w:p w14:paraId="4DCC1423"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第十四条</w:t>
      </w:r>
      <w:r>
        <w:rPr>
          <w:rFonts w:ascii="仿宋_GB2312" w:eastAsia="仿宋_GB2312" w:hint="eastAsia"/>
          <w:sz w:val="32"/>
          <w:szCs w:val="32"/>
        </w:rPr>
        <w:t xml:space="preserve"> 实验室内存放的危险化学品总量必须符合规定要求，严禁超量储存。每间实验室内储存危险化学品（不含压</w:t>
      </w:r>
      <w:r>
        <w:rPr>
          <w:rFonts w:ascii="仿宋_GB2312" w:eastAsia="仿宋_GB2312" w:hint="eastAsia"/>
          <w:sz w:val="32"/>
          <w:szCs w:val="32"/>
        </w:rPr>
        <w:lastRenderedPageBreak/>
        <w:t xml:space="preserve">缩气体和液化气体）原则上不应超过100公升或100千克，其中易燃易爆性化学品的存放总量不应超过50公升或50千克，且单一包装容器不应大于20公升或20千克（按50平方米为标准，存放量以实验室面积比考量）。 </w:t>
      </w:r>
    </w:p>
    <w:p w14:paraId="292D5117" w14:textId="77777777" w:rsidR="00C27D4C" w:rsidRDefault="00AC2805">
      <w:pPr>
        <w:spacing w:after="0" w:line="600" w:lineRule="exact"/>
        <w:ind w:firstLineChars="200" w:firstLine="643"/>
        <w:jc w:val="both"/>
        <w:rPr>
          <w:rFonts w:ascii="仿宋_GB2312" w:eastAsia="仿宋_GB2312"/>
          <w:sz w:val="32"/>
          <w:szCs w:val="32"/>
        </w:rPr>
      </w:pPr>
      <w:bookmarkStart w:id="4" w:name="_Hlk102756393"/>
      <w:r>
        <w:rPr>
          <w:rFonts w:ascii="楷体" w:eastAsia="楷体" w:hAnsi="楷体" w:hint="eastAsia"/>
          <w:b/>
          <w:bCs/>
          <w:sz w:val="32"/>
          <w:szCs w:val="32"/>
        </w:rPr>
        <w:t>第十五条</w:t>
      </w:r>
      <w:r>
        <w:rPr>
          <w:rFonts w:ascii="仿宋_GB2312" w:eastAsia="仿宋_GB2312" w:hint="eastAsia"/>
          <w:sz w:val="32"/>
          <w:szCs w:val="32"/>
        </w:rPr>
        <w:t xml:space="preserve"> 储存易燃易爆危险化学品应满足《易燃易爆性商品储存养护技术条件》（GB17914-2013）的要求。存放</w:t>
      </w:r>
      <w:bookmarkEnd w:id="4"/>
      <w:r>
        <w:rPr>
          <w:rFonts w:ascii="仿宋_GB2312" w:eastAsia="仿宋_GB2312" w:hint="eastAsia"/>
          <w:sz w:val="32"/>
          <w:szCs w:val="32"/>
        </w:rPr>
        <w:t>危险化学品的防爆冰箱必须是本质防爆型，禁止使用普通冰箱储存易燃易爆危险化学品。</w:t>
      </w:r>
    </w:p>
    <w:p w14:paraId="4A8CB90B"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第十六条</w:t>
      </w:r>
      <w:r>
        <w:rPr>
          <w:rFonts w:ascii="仿宋_GB2312" w:eastAsia="仿宋_GB2312" w:hint="eastAsia"/>
          <w:sz w:val="32"/>
          <w:szCs w:val="32"/>
        </w:rPr>
        <w:t xml:space="preserve"> 储存管制类危险化学品应遵循以下原则：</w:t>
      </w:r>
    </w:p>
    <w:p w14:paraId="13A3C519" w14:textId="77777777"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1.储存剧毒化学品需满足《剧毒化学品管理条例》及《剧毒化学品、放射原存放场所治安防范要求》（GA</w:t>
      </w:r>
      <w:r>
        <w:rPr>
          <w:rFonts w:ascii="仿宋_GB2312" w:eastAsia="仿宋_GB2312"/>
          <w:sz w:val="32"/>
          <w:szCs w:val="32"/>
        </w:rPr>
        <w:t xml:space="preserve"> </w:t>
      </w:r>
      <w:r>
        <w:rPr>
          <w:rFonts w:ascii="仿宋_GB2312" w:eastAsia="仿宋_GB2312" w:hint="eastAsia"/>
          <w:sz w:val="32"/>
          <w:szCs w:val="32"/>
        </w:rPr>
        <w:t>1002-2012）的要求，严格落实“五双”管理，即“双人保管、双人领用、双人使用、双把锁、双本帐”的管理制度。</w:t>
      </w:r>
    </w:p>
    <w:p w14:paraId="0CCD0B5B" w14:textId="77777777"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2.储存易制爆化学品需符合《易制爆危险化学品储存场所治安防范要求》（GA 1511-2018）的相关规定，</w:t>
      </w:r>
      <w:bookmarkStart w:id="5" w:name="_Hlk102764486"/>
      <w:r>
        <w:rPr>
          <w:rFonts w:ascii="仿宋_GB2312" w:eastAsia="仿宋_GB2312" w:hint="eastAsia"/>
          <w:sz w:val="32"/>
          <w:szCs w:val="32"/>
        </w:rPr>
        <w:t>严格落实“双人双锁”管理。</w:t>
      </w:r>
      <w:bookmarkEnd w:id="5"/>
    </w:p>
    <w:p w14:paraId="3139492C" w14:textId="77777777"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3.储存民用爆炸品需满足</w:t>
      </w:r>
      <w:hyperlink r:id="rId7" w:tgtFrame="https://www.so.com/_blank" w:history="1">
        <w:r>
          <w:rPr>
            <w:rStyle w:val="ae"/>
            <w:rFonts w:ascii="仿宋_GB2312" w:eastAsia="仿宋_GB2312" w:hint="eastAsia"/>
            <w:color w:val="auto"/>
            <w:sz w:val="32"/>
            <w:szCs w:val="32"/>
          </w:rPr>
          <w:t>《民用爆炸物品储存库治安防范要求》</w:t>
        </w:r>
      </w:hyperlink>
      <w:r>
        <w:rPr>
          <w:rStyle w:val="ae"/>
          <w:rFonts w:ascii="仿宋_GB2312" w:eastAsia="仿宋_GB2312" w:hint="eastAsia"/>
          <w:color w:val="auto"/>
          <w:sz w:val="32"/>
          <w:szCs w:val="32"/>
        </w:rPr>
        <w:t>（</w:t>
      </w:r>
      <w:r>
        <w:rPr>
          <w:rFonts w:ascii="仿宋_GB2312" w:eastAsia="仿宋_GB2312" w:hint="eastAsia"/>
          <w:sz w:val="32"/>
          <w:szCs w:val="32"/>
        </w:rPr>
        <w:t>GA 837-2009</w:t>
      </w:r>
      <w:r>
        <w:rPr>
          <w:rStyle w:val="ae"/>
          <w:rFonts w:ascii="仿宋_GB2312" w:eastAsia="仿宋_GB2312" w:hint="eastAsia"/>
          <w:color w:val="auto"/>
          <w:sz w:val="32"/>
          <w:szCs w:val="32"/>
        </w:rPr>
        <w:t>）</w:t>
      </w:r>
      <w:r>
        <w:rPr>
          <w:rFonts w:ascii="仿宋_GB2312" w:eastAsia="仿宋_GB2312" w:hint="eastAsia"/>
          <w:sz w:val="32"/>
          <w:szCs w:val="32"/>
        </w:rPr>
        <w:t>规定的要求，并专库专柜储存，不应与其他危险化学品混存，严格落实“双人双锁”管理。</w:t>
      </w:r>
    </w:p>
    <w:p w14:paraId="7DB8EFC7" w14:textId="77777777"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4.储存易制毒化学品应满足《易制毒化学品管理条例》及《药品类易制毒化学品管理办法》的相关规定要求，药品类易制毒化学品入库应双人验收，出库应双人复核。第一类易制毒化学品、药品类易制毒化学品实现双人双锁管理，账册保存期</w:t>
      </w:r>
      <w:r>
        <w:rPr>
          <w:rFonts w:ascii="仿宋_GB2312" w:eastAsia="仿宋_GB2312" w:hint="eastAsia"/>
          <w:sz w:val="32"/>
          <w:szCs w:val="32"/>
        </w:rPr>
        <w:lastRenderedPageBreak/>
        <w:t>限不少于2年；第二、三类易制毒品实行上锁管理，并记录台账。</w:t>
      </w:r>
    </w:p>
    <w:p w14:paraId="3AD39A7B" w14:textId="77777777" w:rsidR="00C27D4C" w:rsidRDefault="00AC2805">
      <w:pPr>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5.麻醉药品、精神药品须满足《麻醉药品和精神药品管理条例》的要求，入库应双人验收，出库应双人复核。</w:t>
      </w:r>
    </w:p>
    <w:p w14:paraId="62DA3DD1" w14:textId="77777777" w:rsidR="00C27D4C" w:rsidRPr="00AC2C48" w:rsidRDefault="00AC2805" w:rsidP="00AC2C48">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第十七条</w:t>
      </w:r>
      <w:r>
        <w:rPr>
          <w:rFonts w:ascii="仿宋_GB2312" w:eastAsia="仿宋_GB2312" w:hint="eastAsia"/>
          <w:sz w:val="32"/>
          <w:szCs w:val="32"/>
        </w:rPr>
        <w:t> </w:t>
      </w:r>
      <w:r>
        <w:rPr>
          <w:rFonts w:ascii="仿宋_GB2312" w:eastAsia="仿宋_GB2312" w:hint="eastAsia"/>
          <w:sz w:val="32"/>
          <w:szCs w:val="32"/>
        </w:rPr>
        <w:t>在新建、扩建和改建教学、科研场所或设施时，凡涉及危险化学品的项目，相关单位应事先组织安全条件论证，论证通过后方可施工；项目完成后，须组织危险化学品安全专项验收，合格后方可投入使用，同时向实验室管理处进行备案。对于涉及危险化学品的大型项目或危险性较大的项目，由实验室管理处组织安全条件论证和安全专项验收。对于拟搬迁或废弃的实验室，相关单位必须组织对实验室内的危险化学品进行彻底清查，并按要求及时处理，消除各种安全隐患，同时向实验室管理处备案。</w:t>
      </w:r>
    </w:p>
    <w:p w14:paraId="698272A9"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第五章 危险化学品的使用</w:t>
      </w:r>
    </w:p>
    <w:p w14:paraId="4C75A146" w14:textId="77777777" w:rsidR="00C27D4C" w:rsidRDefault="00AC2805">
      <w:pPr>
        <w:spacing w:after="0" w:line="600" w:lineRule="exact"/>
        <w:ind w:firstLineChars="200" w:firstLine="643"/>
        <w:jc w:val="both"/>
        <w:rPr>
          <w:rFonts w:ascii="仿宋_GB2312" w:eastAsia="仿宋_GB2312"/>
          <w:sz w:val="32"/>
          <w:szCs w:val="32"/>
        </w:rPr>
      </w:pPr>
      <w:bookmarkStart w:id="6" w:name="_Hlk102768936"/>
      <w:r>
        <w:rPr>
          <w:rFonts w:ascii="楷体" w:eastAsia="楷体" w:hAnsi="楷体" w:hint="eastAsia"/>
          <w:b/>
          <w:bCs/>
          <w:sz w:val="32"/>
          <w:szCs w:val="32"/>
        </w:rPr>
        <w:t>第十八条</w:t>
      </w:r>
      <w:r>
        <w:rPr>
          <w:rFonts w:ascii="仿宋_GB2312" w:eastAsia="仿宋_GB2312" w:hint="eastAsia"/>
          <w:sz w:val="32"/>
          <w:szCs w:val="32"/>
        </w:rPr>
        <w:t xml:space="preserve"> 危险化学品的使用应在符合安全技术规范的场所进行；</w:t>
      </w:r>
      <w:bookmarkEnd w:id="6"/>
      <w:r>
        <w:rPr>
          <w:rFonts w:ascii="仿宋_GB2312" w:eastAsia="仿宋_GB2312" w:hint="eastAsia"/>
          <w:sz w:val="32"/>
          <w:szCs w:val="32"/>
        </w:rPr>
        <w:t>使用人员须将安全标签贴在危险化学品的容器上，制定实验指导书或安全操作规程，进行风险评估，并制定规范、科学的应急预案。使用单位应对危险化学品的使用情况，包括安全技术使用说明书和安全标签的落实情况，进行监督管理。</w:t>
      </w:r>
    </w:p>
    <w:p w14:paraId="57B8D923" w14:textId="77777777" w:rsidR="00C27D4C" w:rsidRDefault="00AC2805">
      <w:pPr>
        <w:spacing w:after="0" w:line="600" w:lineRule="exact"/>
        <w:ind w:firstLineChars="200" w:firstLine="643"/>
        <w:jc w:val="both"/>
        <w:rPr>
          <w:rFonts w:ascii="仿宋_GB2312" w:eastAsia="仿宋_GB2312"/>
          <w:sz w:val="32"/>
          <w:szCs w:val="32"/>
        </w:rPr>
      </w:pPr>
      <w:bookmarkStart w:id="7" w:name="_Hlk102769343"/>
      <w:r>
        <w:rPr>
          <w:rFonts w:ascii="楷体" w:eastAsia="楷体" w:hAnsi="楷体" w:hint="eastAsia"/>
          <w:b/>
          <w:bCs/>
          <w:sz w:val="32"/>
          <w:szCs w:val="32"/>
        </w:rPr>
        <w:t>第十九条</w:t>
      </w:r>
      <w:bookmarkEnd w:id="7"/>
      <w:r>
        <w:rPr>
          <w:rFonts w:ascii="楷体" w:eastAsia="楷体" w:hAnsi="楷体" w:hint="eastAsia"/>
          <w:b/>
          <w:bCs/>
          <w:sz w:val="32"/>
          <w:szCs w:val="32"/>
        </w:rPr>
        <w:t xml:space="preserve"> </w:t>
      </w:r>
      <w:r>
        <w:rPr>
          <w:rFonts w:ascii="仿宋_GB2312" w:eastAsia="仿宋_GB2312" w:hint="eastAsia"/>
          <w:sz w:val="32"/>
          <w:szCs w:val="32"/>
        </w:rPr>
        <w:t>实验室要根据危险化学品的种类、危险类别，配备相应的通风、防火、防毒、喷淋、洗眼、隔离、静电消除等设施，并定期检查。</w:t>
      </w:r>
    </w:p>
    <w:p w14:paraId="696F0454" w14:textId="77777777" w:rsidR="00C27D4C" w:rsidRDefault="00AC2805">
      <w:pPr>
        <w:spacing w:after="0" w:line="600" w:lineRule="exact"/>
        <w:ind w:firstLineChars="200" w:firstLine="643"/>
        <w:jc w:val="both"/>
        <w:rPr>
          <w:rFonts w:ascii="仿宋_GB2312" w:eastAsia="仿宋_GB2312"/>
          <w:sz w:val="32"/>
          <w:szCs w:val="32"/>
        </w:rPr>
      </w:pPr>
      <w:bookmarkStart w:id="8" w:name="_Hlk102770084"/>
      <w:r>
        <w:rPr>
          <w:rFonts w:ascii="楷体" w:eastAsia="楷体" w:hAnsi="楷体" w:hint="eastAsia"/>
          <w:b/>
          <w:bCs/>
          <w:sz w:val="32"/>
          <w:szCs w:val="32"/>
        </w:rPr>
        <w:lastRenderedPageBreak/>
        <w:t>第二十条</w:t>
      </w:r>
      <w:bookmarkEnd w:id="8"/>
      <w:r>
        <w:rPr>
          <w:rFonts w:ascii="楷体" w:eastAsia="楷体" w:hAnsi="楷体" w:hint="eastAsia"/>
          <w:b/>
          <w:bCs/>
          <w:sz w:val="32"/>
          <w:szCs w:val="32"/>
        </w:rPr>
        <w:t xml:space="preserve"> </w:t>
      </w:r>
      <w:r>
        <w:rPr>
          <w:rFonts w:ascii="仿宋_GB2312" w:eastAsia="仿宋_GB2312" w:hint="eastAsia"/>
          <w:sz w:val="32"/>
          <w:szCs w:val="32"/>
        </w:rPr>
        <w:t>使用危险化学品要严格按照操作规程进行；要以SDS相关内容为指导，配备相应的</w:t>
      </w:r>
      <w:bookmarkStart w:id="9" w:name="_Hlk102769621"/>
      <w:r>
        <w:rPr>
          <w:rFonts w:ascii="仿宋_GB2312" w:eastAsia="仿宋_GB2312" w:hint="eastAsia"/>
          <w:sz w:val="32"/>
          <w:szCs w:val="32"/>
        </w:rPr>
        <w:t>个人防护装备</w:t>
      </w:r>
      <w:bookmarkEnd w:id="9"/>
      <w:r>
        <w:rPr>
          <w:rFonts w:ascii="仿宋_GB2312" w:eastAsia="仿宋_GB2312" w:hint="eastAsia"/>
          <w:sz w:val="32"/>
          <w:szCs w:val="32"/>
        </w:rPr>
        <w:t>；选择有效且适用的个人防护装备，并且佩戴、穿脱规范。</w:t>
      </w:r>
    </w:p>
    <w:p w14:paraId="63060AF1"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第二十一条</w:t>
      </w:r>
      <w:r>
        <w:rPr>
          <w:rFonts w:ascii="仿宋_GB2312" w:eastAsia="仿宋_GB2312" w:hint="eastAsia"/>
          <w:sz w:val="32"/>
          <w:szCs w:val="32"/>
        </w:rPr>
        <w:t xml:space="preserve"> 初次使用危险化学品的人员，在进行实验前要进行危险化学品安全相关的培训考核，包括安全操作方法和防护知识等。</w:t>
      </w:r>
    </w:p>
    <w:p w14:paraId="79DEA620"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第二十二条</w:t>
      </w:r>
      <w:r>
        <w:rPr>
          <w:rFonts w:ascii="仿宋_GB2312" w:eastAsia="仿宋_GB2312" w:hint="eastAsia"/>
          <w:sz w:val="32"/>
          <w:szCs w:val="32"/>
        </w:rPr>
        <w:t xml:space="preserve"> 使用危险化学品时要按相关要求记好动态台账，确保数据真实、可靠，账物相符。</w:t>
      </w:r>
    </w:p>
    <w:p w14:paraId="6D980D03"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 xml:space="preserve">第二十三条 </w:t>
      </w:r>
      <w:r>
        <w:rPr>
          <w:rFonts w:ascii="仿宋_GB2312" w:eastAsia="仿宋_GB2312" w:hint="eastAsia"/>
          <w:sz w:val="32"/>
          <w:szCs w:val="32"/>
        </w:rPr>
        <w:t>尽量使用低毒、低危险性试剂代替高毒、高危险性试剂；尽量使用小剂量试剂代替中、大剂量试剂。未经学校审批，严禁在实验室进行中试及更大规模的危险化学品实验。</w:t>
      </w:r>
    </w:p>
    <w:p w14:paraId="7D3821CC"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第二十四条</w:t>
      </w:r>
      <w:r>
        <w:rPr>
          <w:rFonts w:ascii="仿宋_GB2312" w:eastAsia="仿宋_GB2312" w:hint="eastAsia"/>
          <w:sz w:val="32"/>
          <w:szCs w:val="32"/>
        </w:rPr>
        <w:t xml:space="preserve"> </w:t>
      </w:r>
      <w:bookmarkStart w:id="10" w:name="_Hlk102775351"/>
      <w:r>
        <w:rPr>
          <w:rFonts w:ascii="仿宋_GB2312" w:eastAsia="仿宋_GB2312" w:hint="eastAsia"/>
          <w:sz w:val="32"/>
          <w:szCs w:val="32"/>
        </w:rPr>
        <w:t>实验结束后，</w:t>
      </w:r>
      <w:bookmarkEnd w:id="10"/>
      <w:r>
        <w:rPr>
          <w:rFonts w:ascii="仿宋_GB2312" w:eastAsia="仿宋_GB2312" w:hint="eastAsia"/>
          <w:sz w:val="32"/>
          <w:szCs w:val="32"/>
        </w:rPr>
        <w:t>剩余危险化学品应及时放回试剂柜中，做好整理和清洁工作，严禁将危险化学品随意摆放在实验台或试剂架上。危险化学品不慎洒落地面或实验台面上，按照SDS要求及时妥善处理。</w:t>
      </w:r>
    </w:p>
    <w:p w14:paraId="6D759D19"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第二十五条</w:t>
      </w:r>
      <w:r>
        <w:rPr>
          <w:rFonts w:ascii="仿宋_GB2312" w:eastAsia="仿宋_GB2312" w:hint="eastAsia"/>
          <w:sz w:val="32"/>
          <w:szCs w:val="32"/>
        </w:rPr>
        <w:t> </w:t>
      </w:r>
      <w:r>
        <w:rPr>
          <w:rFonts w:ascii="仿宋_GB2312" w:eastAsia="仿宋_GB2312" w:hint="eastAsia"/>
          <w:sz w:val="32"/>
          <w:szCs w:val="32"/>
        </w:rPr>
        <w:t>退休或离岗教职员工、毕业学生离校前须做好危险化学品交接工作。离校人员所使用和保管的危险化学品必须交接清楚，账物相符，严禁私自带离学校，严禁遗留不明化学品。无需保存或无使用价值的遗留危险化学品应当及时上报和处置。</w:t>
      </w:r>
    </w:p>
    <w:p w14:paraId="5418AA03"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第六章 危险化学品的废弃处置</w:t>
      </w:r>
    </w:p>
    <w:p w14:paraId="513F1E83"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lastRenderedPageBreak/>
        <w:t>第二十六条</w:t>
      </w:r>
      <w:r>
        <w:rPr>
          <w:rFonts w:ascii="仿宋_GB2312" w:eastAsia="仿宋_GB2312" w:hint="eastAsia"/>
          <w:sz w:val="32"/>
          <w:szCs w:val="32"/>
        </w:rPr>
        <w:t xml:space="preserve"> </w:t>
      </w:r>
      <w:bookmarkStart w:id="11" w:name="_Hlk102776335"/>
      <w:r>
        <w:rPr>
          <w:rFonts w:ascii="仿宋_GB2312" w:eastAsia="仿宋_GB2312" w:hint="eastAsia"/>
          <w:sz w:val="32"/>
          <w:szCs w:val="32"/>
        </w:rPr>
        <w:t>危险化学品的</w:t>
      </w:r>
      <w:bookmarkStart w:id="12" w:name="_Hlk102778465"/>
      <w:r>
        <w:rPr>
          <w:rFonts w:ascii="仿宋_GB2312" w:eastAsia="仿宋_GB2312" w:hint="eastAsia"/>
          <w:sz w:val="32"/>
          <w:szCs w:val="32"/>
        </w:rPr>
        <w:t>废弃物</w:t>
      </w:r>
      <w:bookmarkEnd w:id="11"/>
      <w:bookmarkEnd w:id="12"/>
      <w:r>
        <w:rPr>
          <w:rFonts w:ascii="仿宋_GB2312" w:eastAsia="仿宋_GB2312" w:hint="eastAsia"/>
          <w:sz w:val="32"/>
          <w:szCs w:val="32"/>
        </w:rPr>
        <w:t>应按照《实验室废弃化学品收集技术规范》（GB/T 31190-2014）和《吉林大学实验废弃物管理规定》的要求，分类收集、定点存放、规范处置。有条件的实验室可根据《实验室废弃化学品</w:t>
      </w:r>
      <w:bookmarkStart w:id="13" w:name="_Hlk102776358"/>
      <w:r>
        <w:rPr>
          <w:rFonts w:ascii="仿宋_GB2312" w:eastAsia="仿宋_GB2312" w:hint="eastAsia"/>
          <w:sz w:val="32"/>
          <w:szCs w:val="32"/>
        </w:rPr>
        <w:t>安全预处理</w:t>
      </w:r>
      <w:bookmarkEnd w:id="13"/>
      <w:r>
        <w:rPr>
          <w:rFonts w:ascii="仿宋_GB2312" w:eastAsia="仿宋_GB2312" w:hint="eastAsia"/>
          <w:sz w:val="32"/>
          <w:szCs w:val="32"/>
        </w:rPr>
        <w:t>指南》（HG/T 5012-2017）中的方法对危险化学品废弃物进行安全预处理，尽可能消除或减少废弃化学品的危害。实验室应建立危险废物管理台账，如实记录有关信息，包括种类、产生量、流向、贮存、处置等有关资料。</w:t>
      </w:r>
    </w:p>
    <w:p w14:paraId="7D82773B"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第二十七条</w:t>
      </w:r>
      <w:r>
        <w:rPr>
          <w:rFonts w:ascii="仿宋_GB2312" w:eastAsia="仿宋_GB2312" w:hint="eastAsia"/>
          <w:sz w:val="32"/>
          <w:szCs w:val="32"/>
        </w:rPr>
        <w:t xml:space="preserve"> 危险化学品废弃物严禁乱倒乱丢，严禁直接倒入下水道或普通垃圾桶，严禁室外存放；废弃物要注意及时清理，不得大量囤积。</w:t>
      </w:r>
    </w:p>
    <w:p w14:paraId="11250501"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第二十八条</w:t>
      </w:r>
      <w:r>
        <w:rPr>
          <w:rFonts w:ascii="仿宋_GB2312" w:eastAsia="仿宋_GB2312" w:hint="eastAsia"/>
          <w:sz w:val="32"/>
          <w:szCs w:val="32"/>
        </w:rPr>
        <w:t xml:space="preserve"> 危险化学品使用过程中产生的废气、废液、废渣和粉尘等，如有利用价值应尽可能回收利用。</w:t>
      </w:r>
    </w:p>
    <w:p w14:paraId="543DA07F" w14:textId="77777777" w:rsidR="00C27D4C" w:rsidRDefault="00AC2805">
      <w:pPr>
        <w:spacing w:after="0" w:line="600" w:lineRule="exact"/>
        <w:ind w:firstLineChars="200" w:firstLine="643"/>
        <w:jc w:val="both"/>
        <w:rPr>
          <w:rFonts w:ascii="仿宋_GB2312" w:eastAsia="仿宋_GB2312"/>
          <w:sz w:val="32"/>
          <w:szCs w:val="32"/>
        </w:rPr>
      </w:pPr>
      <w:bookmarkStart w:id="14" w:name="_Hlk102777041"/>
      <w:r>
        <w:rPr>
          <w:rFonts w:ascii="楷体" w:eastAsia="楷体" w:hAnsi="楷体" w:hint="eastAsia"/>
          <w:b/>
          <w:bCs/>
          <w:sz w:val="32"/>
          <w:szCs w:val="32"/>
        </w:rPr>
        <w:t>第二十九条</w:t>
      </w:r>
      <w:bookmarkEnd w:id="14"/>
      <w:r>
        <w:rPr>
          <w:rFonts w:ascii="仿宋_GB2312" w:eastAsia="仿宋_GB2312" w:hint="eastAsia"/>
          <w:sz w:val="32"/>
          <w:szCs w:val="32"/>
        </w:rPr>
        <w:t xml:space="preserve"> 失效、变质、拟报废的危险化学品，须经学院批准，报实验室管理处，按程序废弃处置，不得随意丢弃。</w:t>
      </w:r>
    </w:p>
    <w:p w14:paraId="5B431D9F"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第七章 事故应急救援与责任追究</w:t>
      </w:r>
    </w:p>
    <w:p w14:paraId="38D455C6" w14:textId="77777777" w:rsidR="00C27D4C" w:rsidRDefault="00AC2805">
      <w:pPr>
        <w:spacing w:line="600" w:lineRule="exact"/>
        <w:ind w:firstLineChars="200" w:firstLine="643"/>
        <w:rPr>
          <w:rFonts w:ascii="仿宋_GB2312" w:eastAsia="仿宋_GB2312" w:hAnsi="宋体"/>
          <w:sz w:val="32"/>
          <w:szCs w:val="32"/>
        </w:rPr>
      </w:pPr>
      <w:r>
        <w:rPr>
          <w:rFonts w:ascii="楷体" w:eastAsia="楷体" w:hAnsi="楷体" w:hint="eastAsia"/>
          <w:b/>
          <w:bCs/>
          <w:sz w:val="32"/>
          <w:szCs w:val="32"/>
        </w:rPr>
        <w:t xml:space="preserve">第三十条 </w:t>
      </w:r>
      <w:r>
        <w:rPr>
          <w:rFonts w:ascii="仿宋_GB2312" w:eastAsia="仿宋_GB2312" w:hAnsi="宋体" w:hint="eastAsia"/>
          <w:sz w:val="32"/>
          <w:szCs w:val="32"/>
        </w:rPr>
        <w:t>发生危险化学品安全事故时，当</w:t>
      </w:r>
      <w:bookmarkStart w:id="15" w:name="_Hlk109829304"/>
      <w:r>
        <w:rPr>
          <w:rFonts w:ascii="仿宋_GB2312" w:eastAsia="仿宋_GB2312" w:hAnsi="宋体" w:hint="eastAsia"/>
          <w:sz w:val="32"/>
          <w:szCs w:val="32"/>
        </w:rPr>
        <w:t>事人或事故现场有关人员应按照《吉林大学实验室技术安全事故应急预案》立即采取自救、互救措施</w:t>
      </w:r>
      <w:bookmarkEnd w:id="15"/>
      <w:r>
        <w:rPr>
          <w:rFonts w:ascii="仿宋_GB2312" w:eastAsia="仿宋_GB2312" w:hAnsi="宋体" w:hint="eastAsia"/>
          <w:sz w:val="32"/>
          <w:szCs w:val="32"/>
        </w:rPr>
        <w:t>；及时疏散危害区域内的其他人员，减少人员伤亡和财产损失；同时报告本单位负责人。单位负责人接到事故报告应立即启动应急预案，采取有效措施组织救援，防止事态扩大和蔓延，并及时如实向学校有关部门报告，</w:t>
      </w:r>
      <w:r>
        <w:rPr>
          <w:rFonts w:ascii="仿宋_GB2312" w:eastAsia="仿宋_GB2312" w:hAnsi="宋体" w:hint="eastAsia"/>
          <w:sz w:val="32"/>
          <w:szCs w:val="32"/>
        </w:rPr>
        <w:lastRenderedPageBreak/>
        <w:t>造成人员伤害需抢救的，单位应及时将受伤人员送到医疗机构救治。</w:t>
      </w:r>
    </w:p>
    <w:p w14:paraId="44EB4DD1" w14:textId="77777777" w:rsidR="00C27D4C" w:rsidRDefault="00AC2805">
      <w:pPr>
        <w:spacing w:line="600" w:lineRule="exact"/>
        <w:ind w:firstLineChars="200" w:firstLine="643"/>
        <w:rPr>
          <w:rFonts w:ascii="仿宋_GB2312" w:eastAsia="仿宋_GB2312" w:hAnsi="宋体"/>
          <w:sz w:val="32"/>
          <w:szCs w:val="32"/>
        </w:rPr>
      </w:pPr>
      <w:r>
        <w:rPr>
          <w:rFonts w:ascii="楷体" w:eastAsia="楷体" w:hAnsi="楷体" w:hint="eastAsia"/>
          <w:b/>
          <w:bCs/>
          <w:sz w:val="32"/>
          <w:szCs w:val="32"/>
        </w:rPr>
        <w:t xml:space="preserve">第三十一条 </w:t>
      </w:r>
      <w:r>
        <w:rPr>
          <w:rFonts w:ascii="仿宋_GB2312" w:eastAsia="仿宋_GB2312" w:hAnsi="宋体" w:hint="eastAsia"/>
          <w:sz w:val="32"/>
          <w:szCs w:val="32"/>
        </w:rPr>
        <w:t>应急处置后，事故所在单位72小时内形成初步事故调查报告上报学校，并配合调查，事故责任按照《吉林大学实验室安全责任追究实施细则（试行）》处理；情节严重的单位及个人将按照国家相关法律法规予以处罚；构成犯罪的由司法机关依法追究刑事责任。</w:t>
      </w:r>
    </w:p>
    <w:p w14:paraId="1215304F" w14:textId="77777777" w:rsidR="00C27D4C" w:rsidRDefault="00AC2805" w:rsidP="00AC2C48">
      <w:pPr>
        <w:spacing w:beforeLines="100" w:before="240" w:after="0" w:line="600" w:lineRule="exact"/>
        <w:jc w:val="center"/>
        <w:rPr>
          <w:rFonts w:ascii="黑体" w:eastAsia="黑体" w:hAnsi="黑体"/>
          <w:sz w:val="32"/>
          <w:szCs w:val="32"/>
        </w:rPr>
      </w:pPr>
      <w:r>
        <w:rPr>
          <w:rFonts w:ascii="黑体" w:eastAsia="黑体" w:hAnsi="黑体" w:hint="eastAsia"/>
          <w:sz w:val="32"/>
          <w:szCs w:val="32"/>
        </w:rPr>
        <w:t>第八章 附 则</w:t>
      </w:r>
    </w:p>
    <w:p w14:paraId="51EAF0F5"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 xml:space="preserve">第三十二条 </w:t>
      </w:r>
      <w:r>
        <w:rPr>
          <w:rFonts w:ascii="仿宋_GB2312" w:eastAsia="仿宋_GB2312" w:hint="eastAsia"/>
          <w:sz w:val="32"/>
          <w:szCs w:val="32"/>
        </w:rPr>
        <w:t>本规定由实验室管理处负责解释。</w:t>
      </w:r>
    </w:p>
    <w:p w14:paraId="3D2AD1ED" w14:textId="77777777" w:rsidR="00C27D4C" w:rsidRDefault="00AC2805">
      <w:pPr>
        <w:spacing w:after="0" w:line="600" w:lineRule="exact"/>
        <w:ind w:firstLineChars="200" w:firstLine="643"/>
        <w:jc w:val="both"/>
        <w:rPr>
          <w:rFonts w:ascii="仿宋_GB2312" w:eastAsia="仿宋_GB2312"/>
          <w:sz w:val="32"/>
          <w:szCs w:val="32"/>
        </w:rPr>
      </w:pPr>
      <w:r>
        <w:rPr>
          <w:rFonts w:ascii="楷体" w:eastAsia="楷体" w:hAnsi="楷体" w:hint="eastAsia"/>
          <w:b/>
          <w:bCs/>
          <w:sz w:val="32"/>
          <w:szCs w:val="32"/>
        </w:rPr>
        <w:t>第三十三条</w:t>
      </w:r>
      <w:r>
        <w:rPr>
          <w:rFonts w:ascii="仿宋_GB2312" w:eastAsia="仿宋_GB2312" w:hint="eastAsia"/>
          <w:sz w:val="32"/>
          <w:szCs w:val="32"/>
        </w:rPr>
        <w:t xml:space="preserve"> 本规定自2</w:t>
      </w:r>
      <w:r>
        <w:rPr>
          <w:rFonts w:ascii="仿宋_GB2312" w:eastAsia="仿宋_GB2312"/>
          <w:sz w:val="32"/>
          <w:szCs w:val="32"/>
        </w:rPr>
        <w:t>022</w:t>
      </w:r>
      <w:r>
        <w:rPr>
          <w:rFonts w:ascii="仿宋_GB2312" w:eastAsia="仿宋_GB2312" w:hint="eastAsia"/>
          <w:sz w:val="32"/>
          <w:szCs w:val="32"/>
        </w:rPr>
        <w:t>年</w:t>
      </w:r>
      <w:r w:rsidR="007D4B78">
        <w:rPr>
          <w:rFonts w:ascii="仿宋_GB2312" w:eastAsia="仿宋_GB2312"/>
          <w:sz w:val="32"/>
          <w:szCs w:val="32"/>
        </w:rPr>
        <w:t>8</w:t>
      </w:r>
      <w:r>
        <w:rPr>
          <w:rFonts w:ascii="仿宋_GB2312" w:eastAsia="仿宋_GB2312" w:hint="eastAsia"/>
          <w:sz w:val="32"/>
          <w:szCs w:val="32"/>
        </w:rPr>
        <w:t>月</w:t>
      </w:r>
      <w:r w:rsidR="007D4B78">
        <w:rPr>
          <w:rFonts w:ascii="仿宋_GB2312" w:eastAsia="仿宋_GB2312"/>
          <w:sz w:val="32"/>
          <w:szCs w:val="32"/>
        </w:rPr>
        <w:t>1</w:t>
      </w:r>
      <w:r>
        <w:rPr>
          <w:rFonts w:ascii="仿宋_GB2312" w:eastAsia="仿宋_GB2312" w:hint="eastAsia"/>
          <w:sz w:val="32"/>
          <w:szCs w:val="32"/>
        </w:rPr>
        <w:t>日起施行，原《吉林大学危险化学品管理办法》（校实管字〔2012〕02号）同时废止。</w:t>
      </w:r>
    </w:p>
    <w:p w14:paraId="2EC452A8" w14:textId="77777777" w:rsidR="00C27D4C" w:rsidRPr="007D4B78" w:rsidRDefault="00C27D4C">
      <w:pPr>
        <w:spacing w:after="0" w:line="600" w:lineRule="exact"/>
        <w:ind w:firstLineChars="200" w:firstLine="640"/>
        <w:jc w:val="right"/>
        <w:rPr>
          <w:rFonts w:ascii="仿宋_GB2312" w:eastAsia="仿宋_GB2312"/>
          <w:sz w:val="32"/>
          <w:szCs w:val="32"/>
        </w:rPr>
      </w:pPr>
    </w:p>
    <w:sectPr w:rsidR="00C27D4C" w:rsidRPr="007D4B78" w:rsidSect="00562FD0">
      <w:footerReference w:type="default" r:id="rId8"/>
      <w:pgSz w:w="11906" w:h="16838"/>
      <w:pgMar w:top="1440" w:right="1588" w:bottom="1440" w:left="1588"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45BBD" w14:textId="77777777" w:rsidR="006D1C16" w:rsidRDefault="006D1C16">
      <w:pPr>
        <w:spacing w:after="0"/>
      </w:pPr>
      <w:r>
        <w:separator/>
      </w:r>
    </w:p>
  </w:endnote>
  <w:endnote w:type="continuationSeparator" w:id="0">
    <w:p w14:paraId="178BC615" w14:textId="77777777" w:rsidR="006D1C16" w:rsidRDefault="006D1C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485039"/>
      <w:docPartObj>
        <w:docPartGallery w:val="Page Numbers (Bottom of Page)"/>
        <w:docPartUnique/>
      </w:docPartObj>
    </w:sdtPr>
    <w:sdtEndPr/>
    <w:sdtContent>
      <w:p w14:paraId="3E69F443" w14:textId="3019F4AE" w:rsidR="00562FD0" w:rsidRDefault="00562FD0">
        <w:pPr>
          <w:pStyle w:val="a6"/>
          <w:jc w:val="center"/>
        </w:pPr>
        <w:r>
          <w:fldChar w:fldCharType="begin"/>
        </w:r>
        <w:r>
          <w:instrText>PAGE   \* MERGEFORMAT</w:instrText>
        </w:r>
        <w:r>
          <w:fldChar w:fldCharType="separate"/>
        </w:r>
        <w:r w:rsidR="00FA4E0B" w:rsidRPr="00FA4E0B">
          <w:rPr>
            <w:noProof/>
            <w:lang w:val="zh-CN"/>
          </w:rPr>
          <w:t>-</w:t>
        </w:r>
        <w:r w:rsidR="00FA4E0B">
          <w:rPr>
            <w:noProof/>
          </w:rPr>
          <w:t xml:space="preserve"> 2 -</w:t>
        </w:r>
        <w:r>
          <w:fldChar w:fldCharType="end"/>
        </w:r>
      </w:p>
    </w:sdtContent>
  </w:sdt>
  <w:p w14:paraId="6D4BDFB5" w14:textId="77777777" w:rsidR="00562FD0" w:rsidRDefault="00562FD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673BA" w14:textId="77777777" w:rsidR="006D1C16" w:rsidRDefault="006D1C16">
      <w:pPr>
        <w:spacing w:after="0"/>
      </w:pPr>
      <w:r>
        <w:separator/>
      </w:r>
    </w:p>
  </w:footnote>
  <w:footnote w:type="continuationSeparator" w:id="0">
    <w:p w14:paraId="3391D2AD" w14:textId="77777777" w:rsidR="006D1C16" w:rsidRDefault="006D1C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2MTM5NmNhZTdiNzQ2YTU4ZDU0Y2FkMjJjNmU0ZDgifQ=="/>
  </w:docVars>
  <w:rsids>
    <w:rsidRoot w:val="00D31D50"/>
    <w:rsid w:val="00026B4C"/>
    <w:rsid w:val="00035E10"/>
    <w:rsid w:val="00043A29"/>
    <w:rsid w:val="00050B27"/>
    <w:rsid w:val="00086C07"/>
    <w:rsid w:val="00094A05"/>
    <w:rsid w:val="00097A21"/>
    <w:rsid w:val="000A1E22"/>
    <w:rsid w:val="000A2236"/>
    <w:rsid w:val="000D5346"/>
    <w:rsid w:val="000D534D"/>
    <w:rsid w:val="00116A1F"/>
    <w:rsid w:val="00121F45"/>
    <w:rsid w:val="00124F19"/>
    <w:rsid w:val="00126FB2"/>
    <w:rsid w:val="001358E1"/>
    <w:rsid w:val="00155DDB"/>
    <w:rsid w:val="00170237"/>
    <w:rsid w:val="00180A55"/>
    <w:rsid w:val="0018144E"/>
    <w:rsid w:val="00190740"/>
    <w:rsid w:val="001A3955"/>
    <w:rsid w:val="001B2488"/>
    <w:rsid w:val="001C4ED7"/>
    <w:rsid w:val="001C4FB4"/>
    <w:rsid w:val="001C7DAB"/>
    <w:rsid w:val="001E0179"/>
    <w:rsid w:val="001E20D5"/>
    <w:rsid w:val="001E25CF"/>
    <w:rsid w:val="001E4183"/>
    <w:rsid w:val="001E5D82"/>
    <w:rsid w:val="001F55F9"/>
    <w:rsid w:val="001F6AC4"/>
    <w:rsid w:val="001F6C45"/>
    <w:rsid w:val="001F6DC1"/>
    <w:rsid w:val="001F7ABA"/>
    <w:rsid w:val="002058E9"/>
    <w:rsid w:val="002127D2"/>
    <w:rsid w:val="002150AA"/>
    <w:rsid w:val="0022339E"/>
    <w:rsid w:val="002371A5"/>
    <w:rsid w:val="0024657F"/>
    <w:rsid w:val="00247291"/>
    <w:rsid w:val="0025133C"/>
    <w:rsid w:val="002764A9"/>
    <w:rsid w:val="00282C12"/>
    <w:rsid w:val="00287914"/>
    <w:rsid w:val="002A4B45"/>
    <w:rsid w:val="002A7A81"/>
    <w:rsid w:val="002B1CA7"/>
    <w:rsid w:val="002B56CD"/>
    <w:rsid w:val="002B63B4"/>
    <w:rsid w:val="002C191B"/>
    <w:rsid w:val="002C754A"/>
    <w:rsid w:val="002D63C9"/>
    <w:rsid w:val="002E03EF"/>
    <w:rsid w:val="002E1FE6"/>
    <w:rsid w:val="002F0C4F"/>
    <w:rsid w:val="002F16CD"/>
    <w:rsid w:val="0030703B"/>
    <w:rsid w:val="00315EC4"/>
    <w:rsid w:val="00317C6D"/>
    <w:rsid w:val="003205CD"/>
    <w:rsid w:val="00323225"/>
    <w:rsid w:val="00323B43"/>
    <w:rsid w:val="00340046"/>
    <w:rsid w:val="0034084B"/>
    <w:rsid w:val="003437C1"/>
    <w:rsid w:val="00343BB5"/>
    <w:rsid w:val="00343CBE"/>
    <w:rsid w:val="00347E00"/>
    <w:rsid w:val="00363904"/>
    <w:rsid w:val="00380759"/>
    <w:rsid w:val="00390D5E"/>
    <w:rsid w:val="003A3433"/>
    <w:rsid w:val="003A3CFB"/>
    <w:rsid w:val="003B1794"/>
    <w:rsid w:val="003B1FE5"/>
    <w:rsid w:val="003B3AFE"/>
    <w:rsid w:val="003C3B50"/>
    <w:rsid w:val="003D37D8"/>
    <w:rsid w:val="003F35E9"/>
    <w:rsid w:val="003F75FC"/>
    <w:rsid w:val="00406086"/>
    <w:rsid w:val="00426133"/>
    <w:rsid w:val="0043291A"/>
    <w:rsid w:val="004329D2"/>
    <w:rsid w:val="004358AB"/>
    <w:rsid w:val="004560CE"/>
    <w:rsid w:val="0045753E"/>
    <w:rsid w:val="00461D7E"/>
    <w:rsid w:val="004721DB"/>
    <w:rsid w:val="004752E2"/>
    <w:rsid w:val="00476B1D"/>
    <w:rsid w:val="00481F93"/>
    <w:rsid w:val="004859EF"/>
    <w:rsid w:val="00492F94"/>
    <w:rsid w:val="004B706B"/>
    <w:rsid w:val="004F31BD"/>
    <w:rsid w:val="004F4263"/>
    <w:rsid w:val="005010E2"/>
    <w:rsid w:val="00503BFC"/>
    <w:rsid w:val="00514F14"/>
    <w:rsid w:val="00527818"/>
    <w:rsid w:val="00533C60"/>
    <w:rsid w:val="00541EAA"/>
    <w:rsid w:val="00560705"/>
    <w:rsid w:val="0056091C"/>
    <w:rsid w:val="00562FD0"/>
    <w:rsid w:val="0056566A"/>
    <w:rsid w:val="00571822"/>
    <w:rsid w:val="0057222A"/>
    <w:rsid w:val="005773F9"/>
    <w:rsid w:val="00584928"/>
    <w:rsid w:val="00587857"/>
    <w:rsid w:val="00593349"/>
    <w:rsid w:val="005A28B4"/>
    <w:rsid w:val="005A57F5"/>
    <w:rsid w:val="005A7341"/>
    <w:rsid w:val="005B2A34"/>
    <w:rsid w:val="005B2BD6"/>
    <w:rsid w:val="005B4C7D"/>
    <w:rsid w:val="005B669F"/>
    <w:rsid w:val="005B78A4"/>
    <w:rsid w:val="005D06B4"/>
    <w:rsid w:val="005D3FC4"/>
    <w:rsid w:val="005E3DC8"/>
    <w:rsid w:val="005F1E78"/>
    <w:rsid w:val="005F565A"/>
    <w:rsid w:val="00605A19"/>
    <w:rsid w:val="0061168C"/>
    <w:rsid w:val="00611F39"/>
    <w:rsid w:val="00614203"/>
    <w:rsid w:val="00640989"/>
    <w:rsid w:val="00644F2D"/>
    <w:rsid w:val="006465C8"/>
    <w:rsid w:val="006504EE"/>
    <w:rsid w:val="00652C27"/>
    <w:rsid w:val="00655658"/>
    <w:rsid w:val="00660207"/>
    <w:rsid w:val="0066047C"/>
    <w:rsid w:val="00666786"/>
    <w:rsid w:val="00672558"/>
    <w:rsid w:val="00672EAC"/>
    <w:rsid w:val="00674EF3"/>
    <w:rsid w:val="00686552"/>
    <w:rsid w:val="00694BE6"/>
    <w:rsid w:val="006974C4"/>
    <w:rsid w:val="006A3C8B"/>
    <w:rsid w:val="006A40E9"/>
    <w:rsid w:val="006A4F87"/>
    <w:rsid w:val="006B1BAD"/>
    <w:rsid w:val="006D1C16"/>
    <w:rsid w:val="006D4948"/>
    <w:rsid w:val="006D689A"/>
    <w:rsid w:val="006D6D19"/>
    <w:rsid w:val="006D711F"/>
    <w:rsid w:val="00707367"/>
    <w:rsid w:val="00710F91"/>
    <w:rsid w:val="00712A26"/>
    <w:rsid w:val="007140E9"/>
    <w:rsid w:val="00715D73"/>
    <w:rsid w:val="00720F3B"/>
    <w:rsid w:val="007243A4"/>
    <w:rsid w:val="007404DB"/>
    <w:rsid w:val="00740FC9"/>
    <w:rsid w:val="00741E9A"/>
    <w:rsid w:val="00752D08"/>
    <w:rsid w:val="00763739"/>
    <w:rsid w:val="0077047D"/>
    <w:rsid w:val="00772DBB"/>
    <w:rsid w:val="00774706"/>
    <w:rsid w:val="0077516D"/>
    <w:rsid w:val="00783781"/>
    <w:rsid w:val="007839E4"/>
    <w:rsid w:val="00783A11"/>
    <w:rsid w:val="00784900"/>
    <w:rsid w:val="00792140"/>
    <w:rsid w:val="007A558E"/>
    <w:rsid w:val="007B070F"/>
    <w:rsid w:val="007D1269"/>
    <w:rsid w:val="007D4B78"/>
    <w:rsid w:val="007E338E"/>
    <w:rsid w:val="007E7702"/>
    <w:rsid w:val="007F2B1A"/>
    <w:rsid w:val="00802C12"/>
    <w:rsid w:val="00814E44"/>
    <w:rsid w:val="00823860"/>
    <w:rsid w:val="00831722"/>
    <w:rsid w:val="00836534"/>
    <w:rsid w:val="00837C2B"/>
    <w:rsid w:val="00850952"/>
    <w:rsid w:val="00853B13"/>
    <w:rsid w:val="0085517F"/>
    <w:rsid w:val="00876886"/>
    <w:rsid w:val="008770EA"/>
    <w:rsid w:val="0088391C"/>
    <w:rsid w:val="00886FC9"/>
    <w:rsid w:val="00891EBB"/>
    <w:rsid w:val="008A292A"/>
    <w:rsid w:val="008B461E"/>
    <w:rsid w:val="008B7726"/>
    <w:rsid w:val="008C6A99"/>
    <w:rsid w:val="008C7556"/>
    <w:rsid w:val="008E3BF6"/>
    <w:rsid w:val="008F2F4F"/>
    <w:rsid w:val="008F4A07"/>
    <w:rsid w:val="008F7C9C"/>
    <w:rsid w:val="00903DB9"/>
    <w:rsid w:val="00904A4F"/>
    <w:rsid w:val="009075D6"/>
    <w:rsid w:val="00925058"/>
    <w:rsid w:val="00927117"/>
    <w:rsid w:val="00943C26"/>
    <w:rsid w:val="00957A85"/>
    <w:rsid w:val="00957EEB"/>
    <w:rsid w:val="00970578"/>
    <w:rsid w:val="00980655"/>
    <w:rsid w:val="00980B94"/>
    <w:rsid w:val="0099171E"/>
    <w:rsid w:val="009961D1"/>
    <w:rsid w:val="009A44DE"/>
    <w:rsid w:val="009B1A28"/>
    <w:rsid w:val="009B43AD"/>
    <w:rsid w:val="009B768D"/>
    <w:rsid w:val="009C05FA"/>
    <w:rsid w:val="009C55FD"/>
    <w:rsid w:val="009D0D9D"/>
    <w:rsid w:val="009D78B8"/>
    <w:rsid w:val="009E40AA"/>
    <w:rsid w:val="009E6CFA"/>
    <w:rsid w:val="009F4A86"/>
    <w:rsid w:val="00A03E3A"/>
    <w:rsid w:val="00A04CAF"/>
    <w:rsid w:val="00A21CA3"/>
    <w:rsid w:val="00A3024F"/>
    <w:rsid w:val="00A34356"/>
    <w:rsid w:val="00A36312"/>
    <w:rsid w:val="00A426D9"/>
    <w:rsid w:val="00A54541"/>
    <w:rsid w:val="00A55240"/>
    <w:rsid w:val="00A846AE"/>
    <w:rsid w:val="00AA5D7B"/>
    <w:rsid w:val="00AB6198"/>
    <w:rsid w:val="00AC2805"/>
    <w:rsid w:val="00AC2C48"/>
    <w:rsid w:val="00AC4019"/>
    <w:rsid w:val="00AC7866"/>
    <w:rsid w:val="00AD6600"/>
    <w:rsid w:val="00AE1C1A"/>
    <w:rsid w:val="00AE2DC9"/>
    <w:rsid w:val="00AF2EE4"/>
    <w:rsid w:val="00B023A0"/>
    <w:rsid w:val="00B33568"/>
    <w:rsid w:val="00B34AFD"/>
    <w:rsid w:val="00B373EF"/>
    <w:rsid w:val="00B42743"/>
    <w:rsid w:val="00B6178E"/>
    <w:rsid w:val="00B646A0"/>
    <w:rsid w:val="00B72333"/>
    <w:rsid w:val="00B745E5"/>
    <w:rsid w:val="00B762F8"/>
    <w:rsid w:val="00B92E46"/>
    <w:rsid w:val="00B94E6C"/>
    <w:rsid w:val="00BD1E42"/>
    <w:rsid w:val="00BD1FA0"/>
    <w:rsid w:val="00BD37E1"/>
    <w:rsid w:val="00BE533F"/>
    <w:rsid w:val="00BE59D5"/>
    <w:rsid w:val="00BF096A"/>
    <w:rsid w:val="00C04492"/>
    <w:rsid w:val="00C05008"/>
    <w:rsid w:val="00C106E3"/>
    <w:rsid w:val="00C11EDF"/>
    <w:rsid w:val="00C27D4C"/>
    <w:rsid w:val="00C339DD"/>
    <w:rsid w:val="00C34CB7"/>
    <w:rsid w:val="00C419FC"/>
    <w:rsid w:val="00C64907"/>
    <w:rsid w:val="00C64A2B"/>
    <w:rsid w:val="00C7249E"/>
    <w:rsid w:val="00C73189"/>
    <w:rsid w:val="00CA509D"/>
    <w:rsid w:val="00CB79D8"/>
    <w:rsid w:val="00CC1821"/>
    <w:rsid w:val="00CC2EF0"/>
    <w:rsid w:val="00CC7272"/>
    <w:rsid w:val="00CD7D39"/>
    <w:rsid w:val="00CF39B3"/>
    <w:rsid w:val="00CF4FD6"/>
    <w:rsid w:val="00D03582"/>
    <w:rsid w:val="00D07259"/>
    <w:rsid w:val="00D133EE"/>
    <w:rsid w:val="00D14A9D"/>
    <w:rsid w:val="00D31D50"/>
    <w:rsid w:val="00D41522"/>
    <w:rsid w:val="00D50C61"/>
    <w:rsid w:val="00D60BC4"/>
    <w:rsid w:val="00D71565"/>
    <w:rsid w:val="00D7672B"/>
    <w:rsid w:val="00D83FA4"/>
    <w:rsid w:val="00D95ED7"/>
    <w:rsid w:val="00D96BF7"/>
    <w:rsid w:val="00DA0F8E"/>
    <w:rsid w:val="00DA1279"/>
    <w:rsid w:val="00DA4C6A"/>
    <w:rsid w:val="00DB50AD"/>
    <w:rsid w:val="00DC18F3"/>
    <w:rsid w:val="00DC1E33"/>
    <w:rsid w:val="00DC4A7A"/>
    <w:rsid w:val="00DE25D5"/>
    <w:rsid w:val="00DE2868"/>
    <w:rsid w:val="00DE4253"/>
    <w:rsid w:val="00DF0746"/>
    <w:rsid w:val="00E03299"/>
    <w:rsid w:val="00E1337C"/>
    <w:rsid w:val="00E15B2F"/>
    <w:rsid w:val="00E211AB"/>
    <w:rsid w:val="00E21BAE"/>
    <w:rsid w:val="00E328A3"/>
    <w:rsid w:val="00E33B34"/>
    <w:rsid w:val="00E33C92"/>
    <w:rsid w:val="00E37930"/>
    <w:rsid w:val="00E4649E"/>
    <w:rsid w:val="00E604FF"/>
    <w:rsid w:val="00E73CE9"/>
    <w:rsid w:val="00E82860"/>
    <w:rsid w:val="00E82BA3"/>
    <w:rsid w:val="00E97C6E"/>
    <w:rsid w:val="00EA699A"/>
    <w:rsid w:val="00ED5A5D"/>
    <w:rsid w:val="00EE013E"/>
    <w:rsid w:val="00EE1C56"/>
    <w:rsid w:val="00EE32AB"/>
    <w:rsid w:val="00EE69D0"/>
    <w:rsid w:val="00EE69DA"/>
    <w:rsid w:val="00EF179D"/>
    <w:rsid w:val="00F236EA"/>
    <w:rsid w:val="00F27C37"/>
    <w:rsid w:val="00F32AFB"/>
    <w:rsid w:val="00F35FB1"/>
    <w:rsid w:val="00F41067"/>
    <w:rsid w:val="00F4181E"/>
    <w:rsid w:val="00F51C03"/>
    <w:rsid w:val="00F53843"/>
    <w:rsid w:val="00F6133F"/>
    <w:rsid w:val="00F876BF"/>
    <w:rsid w:val="00F9147B"/>
    <w:rsid w:val="00FA1421"/>
    <w:rsid w:val="00FA49EB"/>
    <w:rsid w:val="00FA4E0B"/>
    <w:rsid w:val="00FB0DBD"/>
    <w:rsid w:val="00FC45A3"/>
    <w:rsid w:val="00FC641F"/>
    <w:rsid w:val="00FC6B00"/>
    <w:rsid w:val="00FD00CD"/>
    <w:rsid w:val="00FE1701"/>
    <w:rsid w:val="00FE2B14"/>
    <w:rsid w:val="00FE4B2E"/>
    <w:rsid w:val="011A6BA8"/>
    <w:rsid w:val="056B68CE"/>
    <w:rsid w:val="0855797B"/>
    <w:rsid w:val="09317969"/>
    <w:rsid w:val="096B3984"/>
    <w:rsid w:val="10177ED4"/>
    <w:rsid w:val="12207221"/>
    <w:rsid w:val="17EE57F8"/>
    <w:rsid w:val="1A8F4FA6"/>
    <w:rsid w:val="1E775FFF"/>
    <w:rsid w:val="1E96706E"/>
    <w:rsid w:val="206000CE"/>
    <w:rsid w:val="223B7369"/>
    <w:rsid w:val="2344787C"/>
    <w:rsid w:val="237A3E37"/>
    <w:rsid w:val="256C5BBA"/>
    <w:rsid w:val="25B92181"/>
    <w:rsid w:val="263D0210"/>
    <w:rsid w:val="27491D25"/>
    <w:rsid w:val="2CC676EA"/>
    <w:rsid w:val="2F9C5B2F"/>
    <w:rsid w:val="2FDE7192"/>
    <w:rsid w:val="32BC080B"/>
    <w:rsid w:val="34282708"/>
    <w:rsid w:val="38C1155F"/>
    <w:rsid w:val="3A1C36B4"/>
    <w:rsid w:val="3A536C27"/>
    <w:rsid w:val="3DD66FBF"/>
    <w:rsid w:val="3E4E7876"/>
    <w:rsid w:val="3E9C5D93"/>
    <w:rsid w:val="42F01E89"/>
    <w:rsid w:val="45F31238"/>
    <w:rsid w:val="48180F3C"/>
    <w:rsid w:val="494929A2"/>
    <w:rsid w:val="49F80A11"/>
    <w:rsid w:val="4ADB35CB"/>
    <w:rsid w:val="4B543AB0"/>
    <w:rsid w:val="4B864147"/>
    <w:rsid w:val="4EC25C18"/>
    <w:rsid w:val="4F18508E"/>
    <w:rsid w:val="55A53E7C"/>
    <w:rsid w:val="57F01083"/>
    <w:rsid w:val="590045C4"/>
    <w:rsid w:val="5C5A7695"/>
    <w:rsid w:val="5D3344B0"/>
    <w:rsid w:val="611E0D03"/>
    <w:rsid w:val="6BBA00D2"/>
    <w:rsid w:val="6C8A0C64"/>
    <w:rsid w:val="6D9D5016"/>
    <w:rsid w:val="705521BF"/>
    <w:rsid w:val="71CD2856"/>
    <w:rsid w:val="724009F8"/>
    <w:rsid w:val="75D8205B"/>
    <w:rsid w:val="763C00F8"/>
    <w:rsid w:val="7DDD384F"/>
    <w:rsid w:val="7E14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73CAA"/>
  <w15:docId w15:val="{A17DEB65-B9A1-4A58-B001-A1D301A2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pPr>
      <w:spacing w:beforeAutospacing="1" w:after="0" w:afterAutospacing="1"/>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0" w:afterAutospacing="1"/>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alloon Text"/>
    <w:basedOn w:val="a"/>
    <w:link w:val="a5"/>
    <w:uiPriority w:val="99"/>
    <w:semiHidden/>
    <w:unhideWhenUsed/>
    <w:pPr>
      <w:spacing w:after="0"/>
    </w:pPr>
    <w:rPr>
      <w:sz w:val="18"/>
      <w:szCs w:val="18"/>
    </w:rPr>
  </w:style>
  <w:style w:type="paragraph" w:styleId="a6">
    <w:name w:val="footer"/>
    <w:basedOn w:val="a"/>
    <w:link w:val="a7"/>
    <w:uiPriority w:val="99"/>
    <w:unhideWhenUsed/>
    <w:qFormat/>
    <w:pPr>
      <w:tabs>
        <w:tab w:val="center" w:pos="4153"/>
        <w:tab w:val="right" w:pos="8306"/>
      </w:tabs>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jc w:val="center"/>
    </w:pPr>
    <w:rPr>
      <w:sz w:val="18"/>
      <w:szCs w:val="18"/>
    </w:rPr>
  </w:style>
  <w:style w:type="paragraph" w:styleId="aa">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b">
    <w:name w:val="Strong"/>
    <w:basedOn w:val="a0"/>
    <w:uiPriority w:val="22"/>
    <w:qFormat/>
    <w:rPr>
      <w:b/>
      <w:bCs/>
    </w:rPr>
  </w:style>
  <w:style w:type="character" w:styleId="ac">
    <w:name w:val="FollowedHyperlink"/>
    <w:basedOn w:val="a0"/>
    <w:uiPriority w:val="99"/>
    <w:semiHidden/>
    <w:unhideWhenUsed/>
    <w:qFormat/>
    <w:rPr>
      <w:color w:val="337AB7"/>
      <w:u w:val="none"/>
    </w:rPr>
  </w:style>
  <w:style w:type="character" w:styleId="ad">
    <w:name w:val="Emphasis"/>
    <w:basedOn w:val="a0"/>
    <w:uiPriority w:val="20"/>
    <w:qFormat/>
    <w:rPr>
      <w:i/>
    </w:rPr>
  </w:style>
  <w:style w:type="character" w:styleId="HTML">
    <w:name w:val="HTML Definition"/>
    <w:basedOn w:val="a0"/>
    <w:uiPriority w:val="99"/>
    <w:semiHidden/>
    <w:unhideWhenUsed/>
    <w:qFormat/>
    <w:rPr>
      <w:i/>
    </w:rPr>
  </w:style>
  <w:style w:type="character" w:styleId="ae">
    <w:name w:val="Hyperlink"/>
    <w:basedOn w:val="a0"/>
    <w:uiPriority w:val="99"/>
    <w:unhideWhenUsed/>
    <w:qFormat/>
    <w:rPr>
      <w:color w:val="337AB7"/>
      <w:u w:val="non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af">
    <w:name w:val="annotation reference"/>
    <w:basedOn w:val="a0"/>
    <w:uiPriority w:val="99"/>
    <w:semiHidden/>
    <w:unhideWhenUsed/>
    <w:rPr>
      <w:sz w:val="21"/>
      <w:szCs w:val="21"/>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a9">
    <w:name w:val="页眉 字符"/>
    <w:basedOn w:val="a0"/>
    <w:link w:val="a8"/>
    <w:uiPriority w:val="99"/>
    <w:qFormat/>
    <w:rPr>
      <w:rFonts w:ascii="Tahoma" w:hAnsi="Tahoma"/>
      <w:sz w:val="18"/>
      <w:szCs w:val="18"/>
    </w:rPr>
  </w:style>
  <w:style w:type="character" w:customStyle="1" w:styleId="a7">
    <w:name w:val="页脚 字符"/>
    <w:basedOn w:val="a0"/>
    <w:link w:val="a6"/>
    <w:uiPriority w:val="99"/>
    <w:qFormat/>
    <w:rPr>
      <w:rFonts w:ascii="Tahoma" w:hAnsi="Tahoma"/>
      <w:sz w:val="18"/>
      <w:szCs w:val="18"/>
    </w:rPr>
  </w:style>
  <w:style w:type="character" w:customStyle="1" w:styleId="a5">
    <w:name w:val="批注框文本 字符"/>
    <w:basedOn w:val="a0"/>
    <w:link w:val="a4"/>
    <w:uiPriority w:val="99"/>
    <w:semiHidden/>
    <w:rPr>
      <w:rFonts w:ascii="Tahoma" w:eastAsia="微软雅黑" w:hAnsi="Tahoma" w:cstheme="minorBidi"/>
      <w:sz w:val="18"/>
      <w:szCs w:val="18"/>
    </w:rPr>
  </w:style>
  <w:style w:type="character" w:customStyle="1" w:styleId="10">
    <w:name w:val="未处理的提及1"/>
    <w:basedOn w:val="a0"/>
    <w:uiPriority w:val="99"/>
    <w:semiHidden/>
    <w:unhideWhenUsed/>
    <w:rPr>
      <w:color w:val="605E5C"/>
      <w:shd w:val="clear" w:color="auto" w:fill="E1DFDD"/>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o.com/link?m=bc3/eeZlPno9+O/WU9IDNBm7qyGb4fpRtVe4aqLbjt9sUbbPGhVFOVqC5FVSxQSkrflCfJP5V4zkhEvrpjFQD0P6L6umRH+GTV5o1OnjBteUi4SFBUGRFSR7ywraMyff8wlG3oTWNGzHlCAQ1R6BMKerc2KdP8MiHJ1l8eE3C9HO++Y/6BNYFmtzNLug0vTYEtMbSVGMhFA60fdBGr2z02oY3Lp3cF4TqgCfCWsTgBW+X8BtybCX+1219s/abHMJgzhuI2+EgQB2Jbhi7QvOjJwi0awz1BcnguQEMyNdSlg7zh7TUY13ywRUU4hpwY/UnRoU6IBtlLj+Kz6Nfpx7L/iOho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C08E-95CD-4CC4-8AAB-D8D8372D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阳光明媚</dc:creator>
  <cp:lastModifiedBy>Windows 用户</cp:lastModifiedBy>
  <cp:revision>2</cp:revision>
  <cp:lastPrinted>2021-03-08T01:45:00Z</cp:lastPrinted>
  <dcterms:created xsi:type="dcterms:W3CDTF">2022-10-05T07:39:00Z</dcterms:created>
  <dcterms:modified xsi:type="dcterms:W3CDTF">2022-10-05T07:39:00Z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31B12A7FE3E34711B960848D4EF3DDC1</vt:lpwstr>
  </property>
</Properties>
</file>